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6"/>
        </w:rPr>
        <w:t>附件</w:t>
      </w:r>
    </w:p>
    <w:p>
      <w:pPr>
        <w:spacing w:line="66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创建无障碍环境工作标准</w:t>
      </w:r>
    </w:p>
    <w:p>
      <w:pPr>
        <w:spacing w:line="66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>
      <w:pPr>
        <w:spacing w:line="540" w:lineRule="exact"/>
        <w:ind w:firstLine="560" w:firstLineChars="200"/>
        <w:rPr>
          <w:rFonts w:ascii="仿宋" w:hAnsi="仿宋" w:eastAsia="仿宋" w:cs="楷体_GB2312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一、为贯彻落实</w:t>
      </w:r>
      <w:r>
        <w:rPr>
          <w:rFonts w:hint="eastAsia" w:ascii="仿宋" w:hAnsi="仿宋" w:eastAsia="仿宋" w:cs="仿宋_GB2312"/>
          <w:sz w:val="28"/>
          <w:szCs w:val="28"/>
        </w:rPr>
        <w:t>《无障碍环境建设条例》，明确无障碍</w:t>
      </w:r>
      <w:bookmarkStart w:id="0" w:name="_GoBack"/>
      <w:bookmarkEnd w:id="0"/>
      <w:r>
        <w:rPr>
          <w:rFonts w:hint="eastAsia" w:ascii="仿宋" w:hAnsi="仿宋" w:eastAsia="仿宋" w:cs="仿宋_GB2312"/>
          <w:sz w:val="28"/>
          <w:szCs w:val="28"/>
        </w:rPr>
        <w:t>环境创建工作的基本要求和项目指标，指导组织创建无障碍环境工作，制定本工作标准。</w:t>
      </w:r>
    </w:p>
    <w:p>
      <w:pPr>
        <w:spacing w:line="54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二、无障碍环境建设是指为便于残疾人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、老年人</w:t>
      </w:r>
      <w:r>
        <w:rPr>
          <w:rFonts w:hint="eastAsia" w:ascii="仿宋" w:hAnsi="仿宋" w:eastAsia="仿宋" w:cs="仿宋_GB2312"/>
          <w:sz w:val="28"/>
          <w:szCs w:val="28"/>
        </w:rPr>
        <w:t>等社会成员自主安全地通行道路、出入相关建筑物、搭乘公共交通工具、交流信息、获得社区服务所进行的建设活动。</w:t>
      </w:r>
    </w:p>
    <w:p>
      <w:pPr>
        <w:spacing w:line="54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三、本工作标准规定的指标为创建无障碍环境市县村镇的基本工作要求。各地应根据本地经济社会发展状况，在开展无障碍环境建设与改造时，结合老旧小区改造、脱贫攻坚、农村人居环境整治三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年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行动</w:t>
      </w:r>
      <w:r>
        <w:rPr>
          <w:rFonts w:hint="eastAsia" w:ascii="仿宋" w:hAnsi="仿宋" w:eastAsia="仿宋" w:cs="仿宋_GB2312"/>
          <w:sz w:val="28"/>
          <w:szCs w:val="28"/>
        </w:rPr>
        <w:t>等工作，努力提高建设水平和改造比例，丰富建设内涵和改造内容。</w:t>
      </w:r>
    </w:p>
    <w:p>
      <w:pPr>
        <w:spacing w:line="54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四、本工作标准所称新建道路、建筑物及相关设施是指“十三五”以来建成并投入使用的道路、建筑物及相关设施。对于城镇已建成的不符合无障碍设施工程建设标准的道路、公共建筑、公共交通设施、居住建筑、居住区等，县级以上人民政府应当制定无障碍设施改造计划并组织实施。</w:t>
      </w:r>
    </w:p>
    <w:p>
      <w:pPr>
        <w:spacing w:line="54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五、本工作标准所称市指直辖市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_GB2312"/>
          <w:sz w:val="28"/>
          <w:szCs w:val="28"/>
        </w:rPr>
        <w:t>地级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及以上的</w:t>
      </w:r>
      <w:r>
        <w:rPr>
          <w:rFonts w:hint="eastAsia" w:ascii="仿宋" w:hAnsi="仿宋" w:eastAsia="仿宋" w:cs="仿宋_GB2312"/>
          <w:sz w:val="28"/>
          <w:szCs w:val="28"/>
        </w:rPr>
        <w:t>市；县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（县级市）</w:t>
      </w:r>
      <w:r>
        <w:rPr>
          <w:rFonts w:hint="eastAsia" w:ascii="仿宋" w:hAnsi="仿宋" w:eastAsia="仿宋" w:cs="仿宋_GB2312"/>
          <w:sz w:val="28"/>
          <w:szCs w:val="28"/>
        </w:rPr>
        <w:t>指县城；镇指镇建成区；乡指乡建成区；村指行政村村民委员会所在自然村或社区等。</w:t>
      </w:r>
    </w:p>
    <w:p>
      <w:pPr>
        <w:spacing w:line="54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六、直辖市、直辖市的区、地级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及以上的</w:t>
      </w:r>
      <w:r>
        <w:rPr>
          <w:rFonts w:hint="eastAsia" w:ascii="仿宋" w:hAnsi="仿宋" w:eastAsia="仿宋" w:cs="仿宋_GB2312"/>
          <w:sz w:val="28"/>
          <w:szCs w:val="28"/>
        </w:rPr>
        <w:t>市、地级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及以上</w:t>
      </w:r>
      <w:r>
        <w:rPr>
          <w:rFonts w:hint="eastAsia" w:ascii="仿宋" w:hAnsi="仿宋" w:eastAsia="仿宋" w:cs="仿宋_GB2312"/>
          <w:sz w:val="28"/>
          <w:szCs w:val="28"/>
        </w:rPr>
        <w:t>市的区执行市工作标准。直辖市的县由直辖市决定执行市工作标准或县工作标准。县（县级市）、镇执行县工作标准。乡、行政村执行村工作标准。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6"/>
        <w:gridCol w:w="947"/>
        <w:gridCol w:w="3969"/>
        <w:gridCol w:w="3969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4000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>
              <w:rPr>
                <w:sz w:val="28"/>
              </w:rPr>
              <w:pict>
                <v:line id="_x0000_s1033" o:spid="_x0000_s1033" o:spt="20" style="position:absolute;left:0pt;flip:x y;margin-left:42.55pt;margin-top:31.2pt;height:47.7pt;width:57.3pt;z-index:251660288;mso-width-relative:page;mso-height-relative:page;" fillcolor="#FFFFFF" filled="t" stroked="t" coordsize="21600,21600">
                  <v:path arrowok="t"/>
                  <v:fill on="t" color2="#FFFFFF" focussize="0,0"/>
                  <v:stroke weight="0.4pt"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宋体" w:hAnsi="宋体" w:cs="仿宋_GB2312"/>
                <w:b/>
                <w:sz w:val="28"/>
                <w:szCs w:val="28"/>
              </w:rPr>
              <w:t>创建无障碍环境工作标准</w:t>
            </w:r>
            <w:r>
              <w:rPr>
                <w:rFonts w:hint="eastAsia" w:ascii="宋体" w:hAnsi="宋体" w:cs="仿宋_GB2312"/>
                <w:b/>
                <w:sz w:val="28"/>
                <w:szCs w:val="28"/>
                <w:lang w:eastAsia="zh-CN"/>
              </w:rPr>
              <w:t>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" w:hRule="atLeast"/>
        </w:trPr>
        <w:tc>
          <w:tcPr>
            <w:tcW w:w="2093" w:type="dxa"/>
            <w:gridSpan w:val="2"/>
            <w:tcBorders>
              <w:top w:val="single" w:color="auto" w:sz="4" w:space="0"/>
            </w:tcBorders>
          </w:tcPr>
          <w:p>
            <w:pPr>
              <w:jc w:val="left"/>
              <w:rPr>
                <w:rFonts w:ascii="仿宋_GB2312" w:hAnsi="仿宋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" w:hAnsi="仿宋" w:eastAsia="仿宋" w:cs="仿宋_GB2312"/>
                <w:b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仿宋_GB2312"/>
                <w:b/>
                <w:sz w:val="24"/>
                <w:szCs w:val="24"/>
              </w:rPr>
              <w:t xml:space="preserve"> 分类</w:t>
            </w:r>
          </w:p>
          <w:p>
            <w:pPr>
              <w:ind w:firstLine="590" w:firstLineChars="245"/>
              <w:jc w:val="left"/>
              <w:rPr>
                <w:rFonts w:ascii="仿宋_GB2312" w:hAnsi="仿宋" w:eastAsia="仿宋_GB2312" w:cs="仿宋_GB2312"/>
                <w:b/>
                <w:sz w:val="24"/>
                <w:szCs w:val="24"/>
              </w:rPr>
            </w:pPr>
            <w:r>
              <w:rPr>
                <w:sz w:val="24"/>
              </w:rPr>
              <w:pict>
                <v:line id="_x0000_s1032" o:spid="_x0000_s1032" o:spt="20" style="position:absolute;left:0pt;margin-left:-5.45pt;margin-top:6.4pt;height:25.2pt;width:105pt;z-index:251659264;mso-width-relative:page;mso-height-relative:page;" fillcolor="#FFFFFF" filled="t" stroked="t" coordsize="21600,21600">
                  <v:path arrowok="t"/>
                  <v:fill on="t" color2="#FFFFFF" focussize="0,0"/>
                  <v:stroke weight="0.4pt" color="#000000"/>
                  <v:imagedata o:title=""/>
                  <o:lock v:ext="edit" aspectratio="f"/>
                </v:line>
              </w:pict>
            </w:r>
            <w:r>
              <w:rPr>
                <w:rFonts w:hint="eastAsia" w:ascii="仿宋_GB2312" w:hAnsi="仿宋" w:eastAsia="仿宋_GB2312" w:cs="仿宋_GB2312"/>
                <w:b/>
                <w:sz w:val="24"/>
                <w:szCs w:val="24"/>
              </w:rPr>
              <w:t>要求</w:t>
            </w:r>
          </w:p>
          <w:p>
            <w:pPr>
              <w:jc w:val="left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_GB2312"/>
                <w:b/>
                <w:sz w:val="24"/>
                <w:szCs w:val="24"/>
              </w:rPr>
              <w:t>分项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市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县</w:t>
            </w:r>
          </w:p>
        </w:tc>
        <w:tc>
          <w:tcPr>
            <w:tcW w:w="3969" w:type="dxa"/>
            <w:tcBorders>
              <w:top w:val="single" w:color="auto" w:sz="4" w:space="0"/>
            </w:tcBorders>
            <w:vAlign w:val="center"/>
          </w:tcPr>
          <w:p>
            <w:pPr>
              <w:ind w:left="-164" w:leftChars="-78" w:right="-76" w:rightChars="-36"/>
              <w:jc w:val="both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firstLine="108" w:firstLineChars="45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一、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管理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工作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机制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成立由市政府有关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负责同志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牵头，住房城乡建设、城市规划、工业和信息化、民政、交通运输、财政、发展改革、公安、教育、宣传、广电、旅游、商务、银行、卫生、残联、老龄等部门参加的无障碍环境建设领导小组，建立各司其职、协调配合的工作机制，在无障碍环境建设中切实发挥组织、协调作用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成立由县政府有关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负责同志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牵头，住房城乡建设、城市规划、工业和信息化、民政、交通运输、财政、发展改革、文化、广电、残联、老龄等部门参加的无障碍环境建设领导小组，建立各司其职、协调配合的工作机制，在无障碍环境建设中切实发挥组织、协调作用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成立由县政府有关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负责同志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牵头，相关部门、乡镇政府和村民委员会参加的无障碍环境建设领导小组，建立各司其职、协调配合的工作机制，在无障碍环境建设中切实发挥组织、协调作用。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法规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制度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制定无障碍环境建设的地方性法规、规章、标准。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制定无障碍环境建设的规范性文件或标准。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县政府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乡镇政府制定无障碍环境建设的规范性文件。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5" w:hRule="atLeast"/>
        </w:trPr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发展规划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与经费支持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组织编制无障碍环境建设发展规划，并将该规划纳入当地国民经济和社会发展规划以及城乡规划。将无障碍环境建设经费和工作经费纳入财政预算，多渠道筹措资金。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组织编制无障碍环境建设发展规划，并将该规划纳入当地国民经济和社会发展规划以及城乡规划。将无障碍环境建设经费和工作经费纳入财政预算，多渠道筹措资金。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县政府、乡镇政府将村无障碍环境建设经费和工作经费纳入财政预算，多渠道筹措资金。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相关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部门工作内容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住房城乡建设主管部门要切实采取措施，确保新建的道路和建筑物在规划、设计、施工、监理及验收等各个环节严格执行《无障碍设计规范》(GB50763)。凡进行扩建、改建的道路和建筑物，应同步进行无障碍设施改造，且应保证使用功能的系统性和连贯性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工业和信息化、广电等部门，应采取措施推进无障碍信息交流建设。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交通运输、公安、教育、旅游、卫生、邮政、电信、金融部门应按照《铁路旅客车站设计规范》（TB10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）、《民用机场旅客航站区无障碍设施设备配置标准》（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MH/T5107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）、《特殊教育学校建筑设计规范》（JGJ76）等标准规范和相关规定，切实推进相关无障碍设施建设。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宣传部门应组织有关媒体，做好无障碍环境建设宣传报道，创造良好的无障碍社会舆论氛围。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政部门、残疾人联合会和老龄工作委员会办公室应积极向政府、有关部门、有关方面反映残疾人、老年人等群体的无障碍需求，对城市无障碍设施建设、管理、使用提出意见，配合住房城乡建设主管部门等做好《无障碍设计规范》(GB50763)、《老年人照料设施建筑设计标准》（JGJ450）的宣传、培训、贯彻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监督检查等工作。同时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应切实抓好本部门老年人福利设施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残疾人综合服务设施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、残疾人康复托养服务设施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的无障碍设施建设与改造工作，发挥示范作用。</w:t>
            </w:r>
          </w:p>
        </w:tc>
        <w:tc>
          <w:tcPr>
            <w:tcW w:w="3969" w:type="dxa"/>
          </w:tcPr>
          <w:p>
            <w:pPr>
              <w:jc w:val="lef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住房城乡建设主管部门要切实采取措施，确保新建的道路和建筑物在规划、设计、施工、监理及验收等各个环节严格执行《无障碍设计规范》(GB50763)。凡进行扩建、改建的道路和建筑物，应同步进行无障碍设施改造，且应保证使用功能的系统性和连贯性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工业和信息化、广电等部门，采取措施推进无障碍信息交流建设。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交通运输、教育等各有关部门应按照《铁路旅客车站设计规范》（TB10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）、《民用机场旅客航站区无障碍设施设备配置标准》（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MH/T 5107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）、《特殊教育学校建筑设计规范》（JGJ76）等标准规范和相关规定，切实推进相关无障碍设施建设。</w:t>
            </w:r>
          </w:p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宣传部门应组织有关媒体，做好无障碍环境建设宣传报道，创造良好的无障碍社会舆论氛围。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民政部门、残疾人联合会和老龄工作委员会办公室应积极向政府、有关部门、有关方面反映残疾人、老年人等群体的无障碍需求，对县城无障碍设施建设、管理、使用提出意见，配合住房城乡建设主管部门等做好《无障碍设计规范》(GB50763)、《老年人照料设施建筑设计标准》（JGJ450）的宣传、培训、贯彻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监督检查等工作。同时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应切实抓好本部门老年人福利设施、残疾人综合服务设施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、残疾人康复托养服务设施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的无障碍设施建设与改造工作，发挥示范作用。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县住房城乡建设、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工业和信息化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、民政、残联、老龄等部门指导乡、村开展无障碍环境建设。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计划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制定既有道路和建筑物无障碍设施改造计划，并组织实施。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制定既有道路和建筑物无障碍设施改造计划，并组织实施。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制定既有道路和建筑物无障碍设施改造计划，并组织实施。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二、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实施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指导与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监督</w:t>
            </w: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监督管理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已经建成的无障碍设施应加强管理和维护，并确保使用情况良好。有关行政主管部门应加强对无障碍设施的监督管理，对侵占、破坏无障碍设施的行为依法处罚。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已经建成的无障碍设施应加强管理和维护，并确保使用情况良好。有关行政主管部门应加强对无障碍设施的监督管理，对侵占、破坏无障碍设施的行为依法处罚。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已经建成的无障碍设施应加强管理和维护，并确保使用情况良好。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社会监督机制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建立有效社会监督机制，发挥新闻媒体、人大代表、政协委员、残疾人、老年人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等社会群体的监督作用，对无障碍环境建设和管理进行监督。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建立有效社会监督机制，发挥新闻媒体、人大代表、政协委员、残疾人、老年人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等社会群体的监督作用，对无障碍环境建设和管理进行监督。</w:t>
            </w:r>
          </w:p>
        </w:tc>
        <w:tc>
          <w:tcPr>
            <w:tcW w:w="3969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建立有效社会监督机制，发挥村民委员会、残疾人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代表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基层老年协会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等社会群体的监督作用，对无障碍环境建设和管理进行监督。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培训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组织开展对相关技术和管理人员的培训，提高相关技术和管理人员执行无障碍相关标准规范的自觉性和能力。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组织开展对相关技术和管理人员的培训，提高相关技术和管理人员执行无障碍相关标准规范的自觉性和能力。</w:t>
            </w:r>
          </w:p>
        </w:tc>
        <w:tc>
          <w:tcPr>
            <w:tcW w:w="3969" w:type="dxa"/>
            <w:vMerge w:val="restart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积极开展无障碍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环境建设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宣传培训。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技术指导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有关建设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设计单位的专家组成无障碍环境建设技术指导组，承担无障碍环境建设的规划、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设计、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施工、改造和特别环境的技术指导和服务。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有关建设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设计单位的专家组成无障碍环境建设技术指导组，承担无障碍环境建设的规划、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设计、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施工、改造和特别环境的技术指导和服务。</w:t>
            </w:r>
          </w:p>
        </w:tc>
        <w:tc>
          <w:tcPr>
            <w:tcW w:w="3969" w:type="dxa"/>
            <w:vMerge w:val="continue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宣传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组织开展无障碍宣传工作，制作播出无障碍公益广告、宣传片、专题片、印发宣传资料，提高公众的无障碍意识，教育公众维护、爱护无障碍设施，形成无障碍环境建设的良好社会氛围。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组织开展无障碍宣传工作，制作播出无障碍公益广告、宣传片、专题片、印发宣传资料，提高公众的无障碍意识，教育公众维护、爱护无障碍设施，形成无障碍环境建设的良好社会氛围。</w:t>
            </w:r>
          </w:p>
        </w:tc>
        <w:tc>
          <w:tcPr>
            <w:tcW w:w="3969" w:type="dxa"/>
            <w:vMerge w:val="continue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restart"/>
            <w:vAlign w:val="center"/>
          </w:tcPr>
          <w:p>
            <w:pPr>
              <w:ind w:left="105" w:leftChars="50" w:right="105" w:rightChars="50"/>
              <w:jc w:val="center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三、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道路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无障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碍环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境建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设与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改造</w:t>
            </w: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pStyle w:val="11"/>
              <w:ind w:firstLine="0" w:firstLineChars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pStyle w:val="11"/>
              <w:ind w:firstLine="0" w:firstLineChars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缘石坡道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pStyle w:val="11"/>
              <w:ind w:firstLine="0" w:firstLineChars="0"/>
              <w:jc w:val="center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（1）新建、扩建和改建道路的人行道，在各种路口、出入口及人行横道等处缘石坡道设置率应达到100%，缘石坡道应尽量采用全宽式单面坡缘石坡道，并符合《无障碍设计规范》(GB50763)的要求。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（2）人行道及人行横道各种路口坡化改造率（含新建率）应不低于85%，且布局合理。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（1）新建、扩建和改建道路的人行道，在各种路口、出入口及人行横道等处缘石坡道设置率应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100%，缘石坡道应尽量采用全宽式单面坡缘石坡道，并符合《无障碍设计规范》(GB50763)的要求。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（2）人行道及人行横道各种路口坡化改造率（含新建率）应不低于70%，且布局合理。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（1）新建、扩建和改建道路的人行道，在各种路口、出入口及人行横道等处缘石坡道设置率应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100%，缘石坡道应尽量采用全宽式单面坡缘石坡道，并符合《无障碍设计规范》(GB50763)的要求。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（2）人行道及人行横道各种路口坡化改造率（含新建率）应不低于60%，且布局合理。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盲道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、扩建和改建的主要商业街、步行街等处的人行道应设置盲道，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视觉障碍者集中区域周边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道路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坡道的上下坡边缘处应设置提示盲道，道路周边场所、建筑等出入口设置的盲道应与道路盲道相衔接，并符合《无障碍设计规范》(GB50763)的要求。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、扩建和改建的主要商业街、步行街等处的人行道应设置盲道，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视觉障碍者集中区域周边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道路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坡道的上下坡边缘处应设置提示盲道，道路周边场所、建筑等出入口设置的盲道应与道路盲道相衔接，并符合《无障碍设计规范》(GB50763)的要求。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ascii="仿宋" w:hAnsi="仿宋" w:eastAsia="仿宋" w:cs="仿宋_GB2312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、扩建和改建的主要商业街、步行街等处的人行道应设置盲道，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视觉障碍者集中区域周边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道路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坡道的上下坡边缘处应设置提示盲道，道路周边场所、建筑等出入口设置的盲道应与道路盲道相衔接，并符合《无障碍设计规范》(GB50763)的要求。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其他设施</w:t>
            </w:r>
          </w:p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1）新建、扩建和改建城市中心区及视觉障碍者集中区域的人行横道，应配置过街音响提示装置，人行横道的安全岛应能使轮椅通行。城市主要道路人行天桥和人行地道应设安全梯道、轮椅坡道或无障碍电梯，并设置无障碍标志牌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2）已建城市中心区及视觉障碍者集中区域的人行横道，应增设过街音响提示装置。人行横道的安全岛应修建轮椅通道。城市主要道路人行天桥和人行地道，宜增设安全梯道、轮椅坡道或无障碍电梯，并设置无障碍标志牌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（1）新建、扩建和改建县城道路人行横道的安全岛应能使轮椅通行。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（2）已建县城道路人行横道的安全岛应修建轮椅通道。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支路和巷路应进出畅通，路面硬化率达到100%。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5" w:hRule="atLeast"/>
        </w:trPr>
        <w:tc>
          <w:tcPr>
            <w:tcW w:w="1146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四、公共建筑、城市广场和城市绿地无障碍环境建设与改造</w:t>
            </w:r>
          </w:p>
          <w:p>
            <w:pPr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textDirection w:val="lrTb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1.新建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公共建筑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、城市广场和城市绿地</w:t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办公科研司法建筑、教育建筑、医疗康复建筑、体育建筑、文化建筑、商业服务建筑、汽车加油加气站、高速公路服务区、室外公共厕所、城市广场、城市绿地等无障碍设施建设率应达到100%，并符合《无障碍设计规范》(GB50763)的要求。</w:t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办公科研司法建筑、教育建筑、医疗康复建筑、体育建筑、文化建筑、商业服务建筑、汽车加油加气站、高速公路服务区、室外公共厕所、城市广场、城市绿地等无障碍设施建设率应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100%，并符合《无障碍设计规范》(GB50763)的要求。</w:t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综合服务中心、卫生院（所、室）、银行、信用社、商店、室外公共厕所、文体活动中心、学校、托儿所、幼儿园等各类公共建筑无障碍设施建设率应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100%，并应符合《无障碍设计规范》(GB50763)的要求。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Merge w:val="restart"/>
            <w:vAlign w:val="center"/>
          </w:tcPr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jc w:val="left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2.已建成的公共建筑、城市广场和城市绿地</w:t>
            </w: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  <w:textDirection w:val="lrTb"/>
            <w:vAlign w:val="top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政府办公建筑、综合（专科）医院、大中型商场、汽车加油加气站、高速公路服务区、城市广场、城市绿地无障碍改造率应不低于75%，且布局合理。政府办公建筑的对外服务窗口无障碍改造率应达到100%。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政府办公建筑的对外服务窗口、医院、公园等公共服务建筑同时要设低位服务设施。</w:t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政府办公建筑、综合（专科）医院、大中型商场、汽车加油加气站、高速公路服务区、城市广场、城市绿地无障碍改造率应不低于70%，且布局合理。政府办公建筑的对外服务窗口无障碍改造率应达到100%。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政府办公建筑的对外服务窗口、医院、公园等公共服务建筑同时要设低位服务设施。</w:t>
            </w:r>
          </w:p>
        </w:tc>
        <w:tc>
          <w:tcPr>
            <w:tcW w:w="3969" w:type="dxa"/>
            <w:textDirection w:val="lrTb"/>
            <w:vAlign w:val="top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综合服务中心、卫生院（所、室）无障碍改造率应达到100%，且布局合理。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厕位，停车场设置无障碍停车位，无电梯的不作要求，有电梯的待更换电梯时再选用无障碍电梯，对外服务窗口设低位服务设施。卫生院（所、室）的诊区、护士站、查询处、服务台等设低位服务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饭店、宾馆、邮政、电信、银行、室外公共厕所无障碍改造率应不低于60%，且布局合理。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邮政、电信、银行等公共服务建筑同时要设低位服务设施，宾馆、饭店同时要有一定数量的无障碍客房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饭店、宾馆、邮政、电信、银行、室外公共厕所无障碍改造率应不低于50%，且布局合理。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邮政、电信、银行等公共服务建筑同时要设低位服务设施，宾馆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饭店同时要有一定数量的无障碍客房。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银行、信用社、商店、室外公共厕所无障碍改造率应不低于40%，且布局合理。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厕位，窗口、服务台等设低位服务设施。室外公共厕所设置无障碍厕位、扶手，入口和通道应方便乘轮椅者进出，地面硬化、防滑。有条件的地方宜设置无障碍厕所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文化馆、图书馆、科技馆、展览馆、博物馆、纪念馆、影剧院、音乐厅、体育场馆无障碍改造率应不低于60%，且布局合理。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文化建筑、体育建筑同时要设低位服务设施和轮椅席位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文化馆、图书馆、科技馆、展览馆、博物馆、纪念馆、影剧院、音乐厅、体育场馆无障碍改造率应不低于50%，且布局合理。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大型场所设置无障碍行进路线图，文化建筑、体育建筑同时要设低位服务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设施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和轮椅席位。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文体活动中心无障碍改造率应不低于40%，且布局合理。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改造主要内容为：建筑物出入口坡化处理，设置扶手、无障碍厕位，地面平整、防滑、硬化。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学校、托幼建筑无障碍改造率应不低于40%，且布局合理。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改造主要内容为：建筑物出入口坡化处理，设置无障碍通道、无障碍电梯、无障碍厕所及无障碍厕位，停车场设置无障碍停车位，在显著醒目位置设无障碍标志，有条件的加装无障碍电梯。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学校、托幼建筑无障碍改造率应不低于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改造主要内容为：建筑物出入口坡化处理，设置无障碍通道、无障碍电梯、无障碍厕所及无障碍厕位，停车场设置无障碍停车位，在显著醒目位置设无障碍标志，有条件的加装无障碍电梯。</w:t>
            </w:r>
          </w:p>
        </w:tc>
        <w:tc>
          <w:tcPr>
            <w:tcW w:w="3969" w:type="dxa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学校、托幼建筑无障碍改造率应不低于30%，且布局合理。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改造主要内容为：建筑物出入口坡化处理，设置无障碍通道、无障碍厕所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或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无障碍厕位，有条件的加装无障碍电梯。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restart"/>
            <w:vAlign w:val="center"/>
          </w:tcPr>
          <w:p>
            <w:pPr>
              <w:ind w:left="105" w:leftChars="50" w:right="105" w:rightChars="50"/>
              <w:rPr>
                <w:rFonts w:hint="eastAsia"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五、公共交通设施无障碍环境建设与改造</w:t>
            </w: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公共交通设施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轨道交通、民用机场、铁路旅客车站、汽车站、客运码头无障碍设施建设率应达到100%，并符合《无障碍设计规范》(GB50763)、《铁路旅客车站设计规范》（TB10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100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）、《民用机场旅客航站区无障碍设施设备配置标准》（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MH/T5107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）等技术要求。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汽车站、客运码头无障碍设施建设率应达到100%，并符合《无障碍设计规范》(GB50763)的要求。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汽车站、客运码头无障碍设施建设率应达到100%，并符合《无障碍设计规范》(GB50763)的要求。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公共交通设施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轨道交通、民用机场、铁路旅客车站、汽车站，客运码头应进行无障碍改造。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出入口坡化处理，设置无障碍通道、无障碍电梯、无障碍厕所及无障碍厕位，同时要设低位服务设施，铁路旅客站台、轨道交通站台及公交车站等候区设行进盲道和提示盲道，主要公交车站设置盲道和盲文站牌，大型场所设置无障碍行进路线图、无障碍标志，机场有方便残疾人登机的升降装置，铁路旅客车站、长途汽车站、地铁、轻轨站台高度与车厢地板基本平齐，客运码头有方便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高龄失能老年人、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残疾人登船的装置。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汽车站和客运码头应进行无障碍改造。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主要改造内容为：出入口坡化处理，设置无障碍通道、无障碍厕所及无障碍厕位，同时要设低位服务设施，公交车站等候区设提示盲道，设置无障碍标志，客运码头有方便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高龄失能老年人、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残疾人登船的装置。</w:t>
            </w:r>
          </w:p>
        </w:tc>
        <w:tc>
          <w:tcPr>
            <w:tcW w:w="3969" w:type="dxa"/>
            <w:tcBorders>
              <w:top w:val="single" w:color="auto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汽车站和客运码头应进行无障碍改造。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主要改造内容为：出入口坡化处理，设置无障碍通道、无障碍厕所及无障碍厕位，同时要设低位服务设施，公交车站等候区设提示盲道，设置无障碍标志，客运码头有方便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高龄失能老年人、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残疾人登船的装置。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公共交通工具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飞机、地铁、轻轨车辆、铁路客车、公共汽车、电车、客轮等公共交通工具应适应残疾人的需要。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主要改造内容为：乘客入口水平通道及轮椅席位。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公共汽车、电车、客轮等公共交通工具应逐步适应残疾人的需要。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主要改造内容为：乘客入口水平通道及轮椅席位。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restart"/>
            <w:vAlign w:val="center"/>
          </w:tcPr>
          <w:p>
            <w:pPr>
              <w:ind w:left="105" w:leftChars="50" w:right="105" w:rightChars="50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六、福利及特殊服务建筑无障碍环境建设与改造</w:t>
            </w: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福利及特殊服务建筑</w:t>
            </w:r>
          </w:p>
        </w:tc>
        <w:tc>
          <w:tcPr>
            <w:tcW w:w="3969" w:type="dxa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特教学校、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残疾人集中就业单位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康复中心、残疾人综合服务设施、残疾人福利机构、儿童福利机构、养老机构、老年人服务设施无障碍设施建设率应达到100%，并符合《无障碍设计规范》(GB50763)、《特殊教育学校建筑设计规范》（JGJ76）、《老年人照料设施建筑设计标准》（JGJ450）等技术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特教学校、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残疾人集中就业单位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康复中心、残疾人综合服务设施、残疾人福利机构、儿童福利机构、养老机构、老年人服务设施无障碍设施建设率应达到100%，并符合《无障碍设计规范》(GB50763)、《特殊教育学校建筑设计规范》（JGJ76）、《老年人照料设施建筑设计标准》（JGJ450）等技术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敬老院、残疾人综合服务设施、残疾人福利机构无障碍设施建设率应达到100%，并符合《无障碍设计规范》(GB50763)、《老年人照料设施建筑设计标准》（JGJ450）等技术要求。</w:t>
            </w:r>
          </w:p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福利及特殊服务建筑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特教学校、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残疾人集中就业单位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、康复中心、残疾人综合服务设施、残疾人福利机构、儿童福利机构、养老机构、老年人服务设施无障碍改造率应达到100%。</w:t>
            </w:r>
          </w:p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主要改造内容为：出入口坡化处理，设置无障碍通道、无障碍电梯、无障碍厕所及无障碍厕位、低位服务设施，室内外主要位置地面铺设行进盲道和提示盲道。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特教学校、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残疾人集中就业单位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、康复中心、残疾人综合服务设施、残疾人福利机构、儿童福利机构、养老机构、老年人服务设施无障碍改造率应达到50%。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主要改造内容为：出入口坡化处理，设置无障碍通道、无障碍电梯、无障碍厕所及无障碍厕位、低位服务设施，室内外主要位置地面铺设行进盲道和提示盲道。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敬老院、残疾人综合服务设施、残疾人福利机构无障碍改造率应达到50%。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主要改造内容为：出入口坡化处理，设置无障碍通道、无障碍电梯、无障碍厕所及无障碍厕位、低位服务设施，室内外主要位置地面铺设行进盲道和提示盲道。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restart"/>
            <w:vAlign w:val="center"/>
          </w:tcPr>
          <w:p>
            <w:pPr>
              <w:ind w:right="78" w:rightChars="37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七、公共停车场（库）无障碍环境建设与改造</w:t>
            </w:r>
          </w:p>
        </w:tc>
        <w:tc>
          <w:tcPr>
            <w:tcW w:w="947" w:type="dxa"/>
            <w:vAlign w:val="center"/>
          </w:tcPr>
          <w:p>
            <w:pPr>
              <w:ind w:left="-141" w:leftChars="-67" w:right="-107" w:rightChars="-51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1.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新建公共停车场（库）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公共停车场（库）无障碍设施建设率应达到100%，并符合《无障碍设计规范》(GB50763)的要求。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ind w:left="-141" w:leftChars="-67" w:right="-107" w:rightChars="-51"/>
              <w:jc w:val="left"/>
              <w:rPr>
                <w:rFonts w:ascii="仿宋" w:hAnsi="仿宋" w:eastAsia="仿宋" w:cs="楷体_GB2312"/>
                <w:b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 xml:space="preserve"> 2.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已建公共停车场（库）</w:t>
            </w:r>
          </w:p>
        </w:tc>
        <w:tc>
          <w:tcPr>
            <w:tcW w:w="3969" w:type="dxa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公共停车场（库）无障碍改造率应不低于60%，且布局合理。</w:t>
            </w:r>
          </w:p>
        </w:tc>
        <w:tc>
          <w:tcPr>
            <w:tcW w:w="3969" w:type="dxa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restart"/>
            <w:vAlign w:val="center"/>
          </w:tcPr>
          <w:p>
            <w:pPr>
              <w:ind w:left="0" w:leftChars="0" w:right="78" w:rightChars="37" w:firstLine="0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八、居住区、居住建筑无障碍环境建设与改造</w:t>
            </w:r>
          </w:p>
          <w:p>
            <w:pPr>
              <w:ind w:left="128" w:leftChars="61" w:right="78" w:rightChars="37" w:firstLine="1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hint="eastAsia" w:ascii="仿宋" w:hAnsi="仿宋" w:eastAsia="仿宋" w:cs="楷体_GB2312"/>
                <w:sz w:val="24"/>
                <w:szCs w:val="24"/>
              </w:rPr>
            </w:pPr>
          </w:p>
          <w:p>
            <w:pPr>
              <w:ind w:left="128" w:leftChars="61" w:right="78" w:rightChars="37" w:firstLine="1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新建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居住区、居住建筑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居住区、居住建筑无障碍设施建设率应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100%，并符合《无障碍设计规范》(GB50763)、《老年人照料设施建筑设计标准》（JGJ450）的要求。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居住区、居住建筑无障碍设施建设率应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100%，并符合《无障碍设计规范》(GB50763) 、《老年人照料设施建筑设计标准》（JGJ450）的要求。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居住区、居住建筑无障碍设施建设率应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达到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100%，并符合《无障碍设计规范》(GB50763)、《老年人照料设施建筑设计标准》（JGJ450）的要求。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已建</w:t>
            </w:r>
            <w:r>
              <w:rPr>
                <w:rFonts w:hint="eastAsia" w:ascii="仿宋" w:hAnsi="仿宋" w:eastAsia="仿宋" w:cs="楷体_GB2312"/>
                <w:sz w:val="24"/>
                <w:szCs w:val="24"/>
              </w:rPr>
              <w:t>居住区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居住区无障碍改造率应不低于50%，且布局合理。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主要改造内容为：居住区内人行道、公共绿地、公共厕所、配套公共服务设施、无障碍停车位。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居住区逐步进行无障碍改造。</w:t>
            </w:r>
          </w:p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主要改造内容为：居住区内人行道、公共绿地、公共厕所、配套公共服务设施、无障碍停车位。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居住区逐步进行无障碍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和适老化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改造。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主要改造内容为：居住区内人行道、公共绿地、公共厕所、配套公共服务设施、无障碍停车位。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已建高层和中高层住宅、公寓和宿舍建筑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高层和中高层住宅、公寓和宿舍建筑无障碍改造率应不低于60%，且布局合理。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主要改造内容为：居住建筑出入口坡化处理，无电梯的不作要求，有电梯的待更换电梯时再选用无障碍电梯，公寓、宿舍设无障碍公共卫生间。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老年人家庭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逐步对残疾人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老年人家庭进行无障碍环境建设与改造，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基本完成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贫困重度残疾人家庭无障碍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改造任务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根据需要，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地面平整及坡化、设置低位灶台（盲人家庭灶台有煤气泄漏报警装置）、房门改造、安装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语音对讲门铃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（或可视门铃、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闪光门铃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）、坐便器改造、安装卫生间热水器、扶手（洗手池扶手、坐便器扶手、淋浴扶手）、浴凳及改善残疾人、老年人家居卫生条件的其他设施。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逐步对残疾人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老年人家庭进行无障碍环境建设与改造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基本完成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贫困重度残疾人家庭无障碍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改造任务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根据需要，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地面平整及坡化、设置低位灶台（盲人家庭灶台有煤气泄漏报警装置）、房门改造、安装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语音对讲门铃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（或可视门铃、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闪光门铃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）、坐便器改造、安装卫生间热水器、扶手（洗手池扶手、坐便器扶手、淋浴扶手）、浴凳及改善残疾人、老年人家居卫生条件的其他设施。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对贫困重度残疾人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、失能老年人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家庭进行无障碍环境建设与改造。</w:t>
            </w:r>
          </w:p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主要改造内容为：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根据需要，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地面平整及坡化、设置低位灶台（盲人家庭灶台有煤气泄漏报警装置）、房门改造、安装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语音对讲门铃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（或可视门铃、</w:t>
            </w:r>
            <w:r>
              <w:rPr>
                <w:rFonts w:ascii="仿宋" w:hAnsi="仿宋" w:eastAsia="仿宋" w:cs="仿宋_GB2312"/>
                <w:sz w:val="24"/>
                <w:szCs w:val="24"/>
              </w:rPr>
              <w:t>闪光门铃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）、坐便器改造、安装卫生间热水器、扶手（洗手池扶手、坐便器扶手、淋浴扶手）、浴凳及改善残疾人、老年人家居卫生条件的其他设施。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146" w:type="dxa"/>
            <w:vMerge w:val="restart"/>
            <w:vAlign w:val="center"/>
          </w:tcPr>
          <w:p>
            <w:pPr>
              <w:ind w:left="0" w:leftChars="0" w:right="0" w:rightChars="0"/>
              <w:jc w:val="center"/>
              <w:rPr>
                <w:rFonts w:ascii="仿宋" w:hAnsi="仿宋" w:eastAsia="仿宋" w:cs="楷体_GB2312"/>
                <w:sz w:val="24"/>
                <w:szCs w:val="24"/>
              </w:rPr>
            </w:pPr>
            <w:r>
              <w:rPr>
                <w:rFonts w:hint="eastAsia" w:ascii="仿宋" w:hAnsi="仿宋" w:eastAsia="仿宋" w:cs="楷体_GB2312"/>
                <w:sz w:val="24"/>
                <w:szCs w:val="24"/>
              </w:rPr>
              <w:t>九、信息交流无障碍环境建设</w:t>
            </w:r>
          </w:p>
          <w:p>
            <w:pPr>
              <w:ind w:left="210" w:leftChars="100" w:right="210" w:rightChars="10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210" w:leftChars="100" w:right="210" w:rightChars="10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210" w:leftChars="100" w:right="210" w:rightChars="100"/>
              <w:rPr>
                <w:rFonts w:ascii="仿宋" w:hAnsi="仿宋" w:eastAsia="仿宋" w:cs="仿宋_GB2312"/>
                <w:sz w:val="24"/>
                <w:szCs w:val="24"/>
              </w:rPr>
            </w:pPr>
          </w:p>
          <w:p>
            <w:pPr>
              <w:ind w:left="210" w:leftChars="100" w:right="210" w:rightChars="100"/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无障碍信息交流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政府应将无障碍信息交流建设纳入信息化建设规划。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政府应将无障碍信息交流建设纳入信息化建设规划</w:t>
            </w:r>
          </w:p>
        </w:tc>
        <w:tc>
          <w:tcPr>
            <w:tcW w:w="3969" w:type="dxa"/>
            <w:vMerge w:val="restart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鼓励和支持有条件的农村地区实现光纤到户，提高4G网络覆盖率，为信息无障碍环境建设提供重要基础支撑。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重要政府信息</w:t>
            </w:r>
          </w:p>
        </w:tc>
        <w:tc>
          <w:tcPr>
            <w:tcW w:w="3969" w:type="dxa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政府及其有关部门发布重要政府信息和与残疾人相关的信息，应创造条件为残疾人提供语音和文字提示等信息交流服务。</w:t>
            </w:r>
          </w:p>
        </w:tc>
        <w:tc>
          <w:tcPr>
            <w:tcW w:w="3969" w:type="dxa"/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政府及其有关部门发布重要政府信息和与残疾人相关的信息，应创造条件为残疾人提供语音和文字提示等信息交流服务。</w:t>
            </w:r>
          </w:p>
        </w:tc>
        <w:tc>
          <w:tcPr>
            <w:tcW w:w="3969" w:type="dxa"/>
            <w:vMerge w:val="continue"/>
            <w:tcBorders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电视台和影视类录像制品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政府设立的电视台在播出电视节目时应配备字幕，每周应播放至少一次配播手语的新闻节目。公开出版发行的影视类录像制品应配备字幕。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政府设立的电视台应逐步在播出电视节目时配备字幕。公开出版发行的影视类录像制品应配备字幕。</w:t>
            </w:r>
          </w:p>
        </w:tc>
        <w:tc>
          <w:tcPr>
            <w:tcW w:w="3969" w:type="dxa"/>
            <w:vMerge w:val="continue"/>
            <w:tcBorders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视力残疾人阅览室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政府设立的公共图书馆应开设视力残疾人阅览室，提供盲文读物、有声读物。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政府设立的公共图书馆应逐步开设视力残疾人阅览室或阅览区域，提供盲文读物、有声读物。</w:t>
            </w:r>
          </w:p>
        </w:tc>
        <w:tc>
          <w:tcPr>
            <w:tcW w:w="3969" w:type="dxa"/>
            <w:vMerge w:val="continue"/>
            <w:tcBorders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无障碍网站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残疾人组织网站、政府网站、政府公益活动网站应达到无障碍网站设计标准。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残疾人组织网站应达到无障碍网站设计标准。政府网站、政府公益活动网站应逐步达到无障碍网站设计标准。</w:t>
            </w:r>
          </w:p>
        </w:tc>
        <w:tc>
          <w:tcPr>
            <w:tcW w:w="3969" w:type="dxa"/>
            <w:vMerge w:val="continue"/>
            <w:tcBorders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公共服务机构和公共场所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公共服务机构和公共场所应为残疾人提供语音和文字提示、手语、盲文等信息交流服务。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</w:rPr>
              <w:t>公共服务机构和公共场所应为残疾人提供语音和文字提示、手语、盲文等信息交流服务。</w:t>
            </w:r>
          </w:p>
        </w:tc>
        <w:tc>
          <w:tcPr>
            <w:tcW w:w="3969" w:type="dxa"/>
            <w:vMerge w:val="continue"/>
            <w:tcBorders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46" w:type="dxa"/>
            <w:vMerge w:val="continue"/>
            <w:vAlign w:val="center"/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  <w:tc>
          <w:tcPr>
            <w:tcW w:w="947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val="en-US" w:eastAsia="zh-CN"/>
              </w:rPr>
              <w:t>7.落实无障碍信息消费政策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基础电信企业应对持证视力、听力、言语残疾人使用固定电话、移动电话、宽带网络服务等费用予以适当优惠。</w:t>
            </w:r>
          </w:p>
        </w:tc>
        <w:tc>
          <w:tcPr>
            <w:tcW w:w="3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rPr>
                <w:rFonts w:hint="eastAsia" w:ascii="仿宋" w:hAnsi="仿宋" w:eastAsia="仿宋" w:cs="仿宋_GB2312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sz w:val="24"/>
                <w:szCs w:val="24"/>
                <w:lang w:eastAsia="zh-CN"/>
              </w:rPr>
              <w:t>基础电信企业应对持证视力、听力、言语残疾人使用固定电话、移动电话、宽带网络服务等费用予以适当优惠。</w:t>
            </w:r>
          </w:p>
        </w:tc>
        <w:tc>
          <w:tcPr>
            <w:tcW w:w="3969" w:type="dxa"/>
            <w:vMerge w:val="continue"/>
            <w:tcBorders>
              <w:bottom w:val="single" w:color="000000" w:sz="4" w:space="0"/>
            </w:tcBorders>
          </w:tcPr>
          <w:p>
            <w:pPr>
              <w:rPr>
                <w:rFonts w:ascii="仿宋" w:hAnsi="仿宋" w:eastAsia="仿宋" w:cs="仿宋_GB2312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 w:cs="楷体_GB2312"/>
          <w:sz w:val="24"/>
          <w:szCs w:val="24"/>
        </w:rPr>
      </w:pPr>
    </w:p>
    <w:sectPr>
      <w:footerReference r:id="rId3" w:type="default"/>
      <w:pgSz w:w="16838" w:h="11906" w:orient="landscape"/>
      <w:pgMar w:top="1797" w:right="1440" w:bottom="1797" w:left="1440" w:header="851" w:footer="992" w:gutter="0"/>
      <w:pgNumType w:fmt="decimal" w:start="6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宋体 ，Arial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Calibri">
    <w:panose1 w:val="020F0502020204030204"/>
    <w:charset w:val="01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w:pict>
        <v:shape id="_x0000_s2049" o:spid="_x0000_s2049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3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lang w:val="zh-CN"/>
                  </w:rPr>
                  <w:t>7</w:t>
                </w:r>
                <w:r>
                  <w:rPr>
                    <w:lang w:val="zh-CN"/>
                  </w:rPr>
                  <w:fldChar w:fldCharType="end"/>
                </w:r>
              </w:p>
            </w:txbxContent>
          </v:textbox>
        </v:shape>
      </w:pic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trackRevisions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22E74"/>
    <w:rsid w:val="00003949"/>
    <w:rsid w:val="000117EF"/>
    <w:rsid w:val="00012276"/>
    <w:rsid w:val="00014337"/>
    <w:rsid w:val="000175EB"/>
    <w:rsid w:val="0002527B"/>
    <w:rsid w:val="0003117C"/>
    <w:rsid w:val="00040F8C"/>
    <w:rsid w:val="00044275"/>
    <w:rsid w:val="00045E31"/>
    <w:rsid w:val="00050173"/>
    <w:rsid w:val="00055CF0"/>
    <w:rsid w:val="000603A1"/>
    <w:rsid w:val="00070AF8"/>
    <w:rsid w:val="000A08B2"/>
    <w:rsid w:val="000A66CB"/>
    <w:rsid w:val="000A7977"/>
    <w:rsid w:val="000B06E6"/>
    <w:rsid w:val="000C38CA"/>
    <w:rsid w:val="000D02B4"/>
    <w:rsid w:val="000D5A13"/>
    <w:rsid w:val="000E197A"/>
    <w:rsid w:val="000F7EE7"/>
    <w:rsid w:val="00115C44"/>
    <w:rsid w:val="00123534"/>
    <w:rsid w:val="001268D3"/>
    <w:rsid w:val="0013277B"/>
    <w:rsid w:val="00134797"/>
    <w:rsid w:val="00136096"/>
    <w:rsid w:val="00141009"/>
    <w:rsid w:val="001448C4"/>
    <w:rsid w:val="00145414"/>
    <w:rsid w:val="00146A1E"/>
    <w:rsid w:val="0017417A"/>
    <w:rsid w:val="00174A61"/>
    <w:rsid w:val="00177DB1"/>
    <w:rsid w:val="00184EBE"/>
    <w:rsid w:val="001877A1"/>
    <w:rsid w:val="00192525"/>
    <w:rsid w:val="00196F29"/>
    <w:rsid w:val="001A5D7D"/>
    <w:rsid w:val="001B1BC5"/>
    <w:rsid w:val="001C122B"/>
    <w:rsid w:val="001C1C35"/>
    <w:rsid w:val="001C66C9"/>
    <w:rsid w:val="001C6B4D"/>
    <w:rsid w:val="001F7104"/>
    <w:rsid w:val="001F73F7"/>
    <w:rsid w:val="002026E9"/>
    <w:rsid w:val="002057CD"/>
    <w:rsid w:val="00205E96"/>
    <w:rsid w:val="00220944"/>
    <w:rsid w:val="00220B53"/>
    <w:rsid w:val="00223548"/>
    <w:rsid w:val="0022551A"/>
    <w:rsid w:val="00226B4C"/>
    <w:rsid w:val="002310A9"/>
    <w:rsid w:val="0023142D"/>
    <w:rsid w:val="00234CFB"/>
    <w:rsid w:val="002445B6"/>
    <w:rsid w:val="0024722D"/>
    <w:rsid w:val="002504C9"/>
    <w:rsid w:val="002530C9"/>
    <w:rsid w:val="002653C4"/>
    <w:rsid w:val="00271A62"/>
    <w:rsid w:val="0027452E"/>
    <w:rsid w:val="00274FA3"/>
    <w:rsid w:val="0027555C"/>
    <w:rsid w:val="00275A07"/>
    <w:rsid w:val="0027774E"/>
    <w:rsid w:val="00280CEB"/>
    <w:rsid w:val="002810BD"/>
    <w:rsid w:val="00285231"/>
    <w:rsid w:val="002A1CAA"/>
    <w:rsid w:val="002A2DFB"/>
    <w:rsid w:val="002A7AB3"/>
    <w:rsid w:val="002B3D70"/>
    <w:rsid w:val="002B4E86"/>
    <w:rsid w:val="002B5552"/>
    <w:rsid w:val="002C1078"/>
    <w:rsid w:val="002D33C6"/>
    <w:rsid w:val="002D6415"/>
    <w:rsid w:val="002D75D2"/>
    <w:rsid w:val="002E33B2"/>
    <w:rsid w:val="002F1EA8"/>
    <w:rsid w:val="002F511F"/>
    <w:rsid w:val="00305457"/>
    <w:rsid w:val="00311803"/>
    <w:rsid w:val="00315D53"/>
    <w:rsid w:val="00320576"/>
    <w:rsid w:val="0032115A"/>
    <w:rsid w:val="003263F0"/>
    <w:rsid w:val="003317DB"/>
    <w:rsid w:val="00336299"/>
    <w:rsid w:val="00341BD1"/>
    <w:rsid w:val="003564C5"/>
    <w:rsid w:val="00365789"/>
    <w:rsid w:val="00366FAC"/>
    <w:rsid w:val="003732B4"/>
    <w:rsid w:val="00382FE6"/>
    <w:rsid w:val="00391076"/>
    <w:rsid w:val="00394533"/>
    <w:rsid w:val="00396250"/>
    <w:rsid w:val="003A1EEB"/>
    <w:rsid w:val="003A520C"/>
    <w:rsid w:val="003A5907"/>
    <w:rsid w:val="003D40BE"/>
    <w:rsid w:val="003D530D"/>
    <w:rsid w:val="003E519C"/>
    <w:rsid w:val="003F0083"/>
    <w:rsid w:val="003F3107"/>
    <w:rsid w:val="003F4318"/>
    <w:rsid w:val="003F5534"/>
    <w:rsid w:val="003F7DB0"/>
    <w:rsid w:val="00402924"/>
    <w:rsid w:val="00405940"/>
    <w:rsid w:val="0042416F"/>
    <w:rsid w:val="00426382"/>
    <w:rsid w:val="00426F0C"/>
    <w:rsid w:val="004401F3"/>
    <w:rsid w:val="00444A1E"/>
    <w:rsid w:val="0046033E"/>
    <w:rsid w:val="004653D8"/>
    <w:rsid w:val="0047004F"/>
    <w:rsid w:val="004746E4"/>
    <w:rsid w:val="004804B3"/>
    <w:rsid w:val="004872E8"/>
    <w:rsid w:val="00492706"/>
    <w:rsid w:val="00492A04"/>
    <w:rsid w:val="004A1268"/>
    <w:rsid w:val="004A28CA"/>
    <w:rsid w:val="004B3961"/>
    <w:rsid w:val="004B3A3C"/>
    <w:rsid w:val="004C433B"/>
    <w:rsid w:val="004C6E32"/>
    <w:rsid w:val="004D23F4"/>
    <w:rsid w:val="004D5705"/>
    <w:rsid w:val="004E498F"/>
    <w:rsid w:val="004E733F"/>
    <w:rsid w:val="004F289D"/>
    <w:rsid w:val="004F7CF8"/>
    <w:rsid w:val="00512A58"/>
    <w:rsid w:val="00520327"/>
    <w:rsid w:val="005372C7"/>
    <w:rsid w:val="00552F8F"/>
    <w:rsid w:val="0057663C"/>
    <w:rsid w:val="00581B21"/>
    <w:rsid w:val="005830D0"/>
    <w:rsid w:val="00584040"/>
    <w:rsid w:val="00596662"/>
    <w:rsid w:val="005A14EE"/>
    <w:rsid w:val="005B1FDB"/>
    <w:rsid w:val="005B2ED8"/>
    <w:rsid w:val="005B2FDA"/>
    <w:rsid w:val="005C3BA9"/>
    <w:rsid w:val="005D0F70"/>
    <w:rsid w:val="005D383D"/>
    <w:rsid w:val="005E3C93"/>
    <w:rsid w:val="005F1E8B"/>
    <w:rsid w:val="005F3E28"/>
    <w:rsid w:val="00601E0A"/>
    <w:rsid w:val="00606123"/>
    <w:rsid w:val="00606572"/>
    <w:rsid w:val="00610316"/>
    <w:rsid w:val="006362AC"/>
    <w:rsid w:val="006406C4"/>
    <w:rsid w:val="00645847"/>
    <w:rsid w:val="006526D4"/>
    <w:rsid w:val="006551DD"/>
    <w:rsid w:val="00665FCB"/>
    <w:rsid w:val="0067055A"/>
    <w:rsid w:val="00674168"/>
    <w:rsid w:val="00674C18"/>
    <w:rsid w:val="00677699"/>
    <w:rsid w:val="006C4A09"/>
    <w:rsid w:val="006D039E"/>
    <w:rsid w:val="006D28B9"/>
    <w:rsid w:val="006D5E6E"/>
    <w:rsid w:val="006F1836"/>
    <w:rsid w:val="006F5B0F"/>
    <w:rsid w:val="0071535E"/>
    <w:rsid w:val="00722E74"/>
    <w:rsid w:val="00724E7D"/>
    <w:rsid w:val="007268BE"/>
    <w:rsid w:val="00727B78"/>
    <w:rsid w:val="007310AC"/>
    <w:rsid w:val="007578DE"/>
    <w:rsid w:val="00761ECB"/>
    <w:rsid w:val="00771739"/>
    <w:rsid w:val="007766FB"/>
    <w:rsid w:val="007832C1"/>
    <w:rsid w:val="00784846"/>
    <w:rsid w:val="007A51FA"/>
    <w:rsid w:val="007B23A2"/>
    <w:rsid w:val="007F0A23"/>
    <w:rsid w:val="0080455D"/>
    <w:rsid w:val="00810E71"/>
    <w:rsid w:val="00820F62"/>
    <w:rsid w:val="00825BBD"/>
    <w:rsid w:val="00832CD7"/>
    <w:rsid w:val="008333E8"/>
    <w:rsid w:val="00841050"/>
    <w:rsid w:val="0087430C"/>
    <w:rsid w:val="00880B69"/>
    <w:rsid w:val="008B1055"/>
    <w:rsid w:val="008C7EFB"/>
    <w:rsid w:val="008D1486"/>
    <w:rsid w:val="008D5696"/>
    <w:rsid w:val="008D5C6D"/>
    <w:rsid w:val="00900F01"/>
    <w:rsid w:val="0091054E"/>
    <w:rsid w:val="00932401"/>
    <w:rsid w:val="00933809"/>
    <w:rsid w:val="00935B29"/>
    <w:rsid w:val="009363A7"/>
    <w:rsid w:val="00936AA0"/>
    <w:rsid w:val="00942A47"/>
    <w:rsid w:val="00943722"/>
    <w:rsid w:val="00945AC5"/>
    <w:rsid w:val="009675F5"/>
    <w:rsid w:val="0097034B"/>
    <w:rsid w:val="009748DF"/>
    <w:rsid w:val="009874E3"/>
    <w:rsid w:val="0099151A"/>
    <w:rsid w:val="009A52FF"/>
    <w:rsid w:val="009A5E47"/>
    <w:rsid w:val="009B10C9"/>
    <w:rsid w:val="009B180E"/>
    <w:rsid w:val="009B5A26"/>
    <w:rsid w:val="009C0B16"/>
    <w:rsid w:val="009C1512"/>
    <w:rsid w:val="009C525B"/>
    <w:rsid w:val="009E33E9"/>
    <w:rsid w:val="009E7010"/>
    <w:rsid w:val="00A073E1"/>
    <w:rsid w:val="00A16E43"/>
    <w:rsid w:val="00A25BB6"/>
    <w:rsid w:val="00A277B7"/>
    <w:rsid w:val="00A34932"/>
    <w:rsid w:val="00A44EE9"/>
    <w:rsid w:val="00A50D89"/>
    <w:rsid w:val="00A522AE"/>
    <w:rsid w:val="00A66BC1"/>
    <w:rsid w:val="00A70675"/>
    <w:rsid w:val="00A717D6"/>
    <w:rsid w:val="00A8094B"/>
    <w:rsid w:val="00A9001C"/>
    <w:rsid w:val="00A96815"/>
    <w:rsid w:val="00AA412F"/>
    <w:rsid w:val="00AB4788"/>
    <w:rsid w:val="00AB6E20"/>
    <w:rsid w:val="00AC0DB0"/>
    <w:rsid w:val="00AC2C73"/>
    <w:rsid w:val="00AC62D6"/>
    <w:rsid w:val="00AC6362"/>
    <w:rsid w:val="00AD42F9"/>
    <w:rsid w:val="00AE7272"/>
    <w:rsid w:val="00AF1B36"/>
    <w:rsid w:val="00AF6A99"/>
    <w:rsid w:val="00AF6DF2"/>
    <w:rsid w:val="00AF6FE9"/>
    <w:rsid w:val="00B14E24"/>
    <w:rsid w:val="00B20982"/>
    <w:rsid w:val="00B4340D"/>
    <w:rsid w:val="00B47588"/>
    <w:rsid w:val="00B52E3C"/>
    <w:rsid w:val="00B70B88"/>
    <w:rsid w:val="00B71E45"/>
    <w:rsid w:val="00B76565"/>
    <w:rsid w:val="00B81B28"/>
    <w:rsid w:val="00B9313D"/>
    <w:rsid w:val="00B966F6"/>
    <w:rsid w:val="00BA0111"/>
    <w:rsid w:val="00BA0B33"/>
    <w:rsid w:val="00BA22C0"/>
    <w:rsid w:val="00BA7968"/>
    <w:rsid w:val="00BB1E41"/>
    <w:rsid w:val="00BB33FE"/>
    <w:rsid w:val="00BD647D"/>
    <w:rsid w:val="00BD6B26"/>
    <w:rsid w:val="00BE3471"/>
    <w:rsid w:val="00BE5EB1"/>
    <w:rsid w:val="00BF594C"/>
    <w:rsid w:val="00C03F9F"/>
    <w:rsid w:val="00C074C7"/>
    <w:rsid w:val="00C21856"/>
    <w:rsid w:val="00C225E8"/>
    <w:rsid w:val="00C22B2E"/>
    <w:rsid w:val="00C243DA"/>
    <w:rsid w:val="00C25439"/>
    <w:rsid w:val="00C34CEF"/>
    <w:rsid w:val="00C43D15"/>
    <w:rsid w:val="00C5002E"/>
    <w:rsid w:val="00C50DAE"/>
    <w:rsid w:val="00C514F0"/>
    <w:rsid w:val="00C6311B"/>
    <w:rsid w:val="00C64910"/>
    <w:rsid w:val="00C669FF"/>
    <w:rsid w:val="00C867E3"/>
    <w:rsid w:val="00C945FF"/>
    <w:rsid w:val="00CB40E4"/>
    <w:rsid w:val="00CB6833"/>
    <w:rsid w:val="00CB7DE7"/>
    <w:rsid w:val="00CC198F"/>
    <w:rsid w:val="00CC308A"/>
    <w:rsid w:val="00CC4BC0"/>
    <w:rsid w:val="00CD3E47"/>
    <w:rsid w:val="00CD46B2"/>
    <w:rsid w:val="00CE41F2"/>
    <w:rsid w:val="00D02C00"/>
    <w:rsid w:val="00D45133"/>
    <w:rsid w:val="00D81DFC"/>
    <w:rsid w:val="00D84520"/>
    <w:rsid w:val="00D8459D"/>
    <w:rsid w:val="00D9262C"/>
    <w:rsid w:val="00DB5347"/>
    <w:rsid w:val="00DB7CA7"/>
    <w:rsid w:val="00DC2050"/>
    <w:rsid w:val="00DC4591"/>
    <w:rsid w:val="00DC507F"/>
    <w:rsid w:val="00DC734C"/>
    <w:rsid w:val="00DD1D75"/>
    <w:rsid w:val="00DD6757"/>
    <w:rsid w:val="00DF2545"/>
    <w:rsid w:val="00DF45CB"/>
    <w:rsid w:val="00DF7109"/>
    <w:rsid w:val="00E0527D"/>
    <w:rsid w:val="00E05A94"/>
    <w:rsid w:val="00E06149"/>
    <w:rsid w:val="00E0735C"/>
    <w:rsid w:val="00E07DCD"/>
    <w:rsid w:val="00E11EB8"/>
    <w:rsid w:val="00E13C4A"/>
    <w:rsid w:val="00E23600"/>
    <w:rsid w:val="00E51C14"/>
    <w:rsid w:val="00E55853"/>
    <w:rsid w:val="00E57299"/>
    <w:rsid w:val="00E61185"/>
    <w:rsid w:val="00E66F16"/>
    <w:rsid w:val="00E97286"/>
    <w:rsid w:val="00EB118F"/>
    <w:rsid w:val="00EC32D8"/>
    <w:rsid w:val="00EC39E7"/>
    <w:rsid w:val="00EC478C"/>
    <w:rsid w:val="00ED147B"/>
    <w:rsid w:val="00ED5A11"/>
    <w:rsid w:val="00ED6FEE"/>
    <w:rsid w:val="00EE642A"/>
    <w:rsid w:val="00EF5C42"/>
    <w:rsid w:val="00EF64F0"/>
    <w:rsid w:val="00F01187"/>
    <w:rsid w:val="00F04936"/>
    <w:rsid w:val="00F12D16"/>
    <w:rsid w:val="00F22833"/>
    <w:rsid w:val="00F33866"/>
    <w:rsid w:val="00F443C8"/>
    <w:rsid w:val="00F44922"/>
    <w:rsid w:val="00F53800"/>
    <w:rsid w:val="00F550D9"/>
    <w:rsid w:val="00F60F57"/>
    <w:rsid w:val="00F6751F"/>
    <w:rsid w:val="00F73203"/>
    <w:rsid w:val="00F845C6"/>
    <w:rsid w:val="00FB0464"/>
    <w:rsid w:val="00FB2955"/>
    <w:rsid w:val="00FB2EE1"/>
    <w:rsid w:val="00FB4E26"/>
    <w:rsid w:val="00FC0EA2"/>
    <w:rsid w:val="00FC1349"/>
    <w:rsid w:val="00FC559C"/>
    <w:rsid w:val="00FD7703"/>
    <w:rsid w:val="00FE0BCB"/>
    <w:rsid w:val="00FF2982"/>
    <w:rsid w:val="00FF3D6D"/>
    <w:rsid w:val="00FF4C0A"/>
    <w:rsid w:val="029904CA"/>
    <w:rsid w:val="02E4531A"/>
    <w:rsid w:val="032F200F"/>
    <w:rsid w:val="043F0BC6"/>
    <w:rsid w:val="04F4234E"/>
    <w:rsid w:val="06413B0A"/>
    <w:rsid w:val="06D006EA"/>
    <w:rsid w:val="072F19DF"/>
    <w:rsid w:val="07400DAE"/>
    <w:rsid w:val="097C2ED6"/>
    <w:rsid w:val="09B82B04"/>
    <w:rsid w:val="0A030962"/>
    <w:rsid w:val="0A55284D"/>
    <w:rsid w:val="0B243A8E"/>
    <w:rsid w:val="0B4C62B8"/>
    <w:rsid w:val="0D0A705A"/>
    <w:rsid w:val="0E874C00"/>
    <w:rsid w:val="0FDA232A"/>
    <w:rsid w:val="114A03A3"/>
    <w:rsid w:val="1316773A"/>
    <w:rsid w:val="14827489"/>
    <w:rsid w:val="16C45467"/>
    <w:rsid w:val="174E4285"/>
    <w:rsid w:val="188266F3"/>
    <w:rsid w:val="193D713A"/>
    <w:rsid w:val="1AD14A53"/>
    <w:rsid w:val="1B1E28FC"/>
    <w:rsid w:val="1E3A7639"/>
    <w:rsid w:val="1E4E3280"/>
    <w:rsid w:val="204555BB"/>
    <w:rsid w:val="219B7169"/>
    <w:rsid w:val="23A476FC"/>
    <w:rsid w:val="24AD4C1A"/>
    <w:rsid w:val="27C17DAE"/>
    <w:rsid w:val="2A3500C6"/>
    <w:rsid w:val="2B72756D"/>
    <w:rsid w:val="2CD26C35"/>
    <w:rsid w:val="3076072D"/>
    <w:rsid w:val="388C693E"/>
    <w:rsid w:val="3E1F3713"/>
    <w:rsid w:val="3E922C59"/>
    <w:rsid w:val="3EED209F"/>
    <w:rsid w:val="3FDF1279"/>
    <w:rsid w:val="42EC648A"/>
    <w:rsid w:val="4302727C"/>
    <w:rsid w:val="45F97281"/>
    <w:rsid w:val="47010AEF"/>
    <w:rsid w:val="48E06077"/>
    <w:rsid w:val="496E7497"/>
    <w:rsid w:val="4A594D71"/>
    <w:rsid w:val="4A6568FC"/>
    <w:rsid w:val="4B34684A"/>
    <w:rsid w:val="4B576E9F"/>
    <w:rsid w:val="4D4F3293"/>
    <w:rsid w:val="5006256A"/>
    <w:rsid w:val="511579D0"/>
    <w:rsid w:val="51F70FFC"/>
    <w:rsid w:val="53D24B0C"/>
    <w:rsid w:val="541A228E"/>
    <w:rsid w:val="55A37C5D"/>
    <w:rsid w:val="59C76639"/>
    <w:rsid w:val="5A5938DA"/>
    <w:rsid w:val="5C3A6CF8"/>
    <w:rsid w:val="5CB37618"/>
    <w:rsid w:val="5CC75EC5"/>
    <w:rsid w:val="5CDC1A6D"/>
    <w:rsid w:val="5EE571E2"/>
    <w:rsid w:val="633E6D78"/>
    <w:rsid w:val="637948A0"/>
    <w:rsid w:val="63BC2E76"/>
    <w:rsid w:val="63F958DB"/>
    <w:rsid w:val="644871D1"/>
    <w:rsid w:val="6543613F"/>
    <w:rsid w:val="66A25B69"/>
    <w:rsid w:val="66A27D67"/>
    <w:rsid w:val="67C03FE4"/>
    <w:rsid w:val="683E27B8"/>
    <w:rsid w:val="68B22AEB"/>
    <w:rsid w:val="69050244"/>
    <w:rsid w:val="690742F5"/>
    <w:rsid w:val="6A3629C3"/>
    <w:rsid w:val="6B2C6E96"/>
    <w:rsid w:val="6BDF28B8"/>
    <w:rsid w:val="6C77420C"/>
    <w:rsid w:val="6D10009E"/>
    <w:rsid w:val="6D165F1B"/>
    <w:rsid w:val="6DD45CE7"/>
    <w:rsid w:val="6DD66BA4"/>
    <w:rsid w:val="6ED446DA"/>
    <w:rsid w:val="707C5BE1"/>
    <w:rsid w:val="70CD4F07"/>
    <w:rsid w:val="70D71A43"/>
    <w:rsid w:val="71B72837"/>
    <w:rsid w:val="726657E6"/>
    <w:rsid w:val="72737A95"/>
    <w:rsid w:val="73352CAD"/>
    <w:rsid w:val="74BB3B35"/>
    <w:rsid w:val="755C60C1"/>
    <w:rsid w:val="77464CED"/>
    <w:rsid w:val="789A57FD"/>
    <w:rsid w:val="7CA100CA"/>
    <w:rsid w:val="7CE61909"/>
    <w:rsid w:val="7D5E51D4"/>
    <w:rsid w:val="7DB519DD"/>
    <w:rsid w:val="7EE9193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off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5"/>
    <w:link w:val="2"/>
    <w:semiHidden/>
    <w:qFormat/>
    <w:uiPriority w:val="99"/>
    <w:rPr>
      <w:rFonts w:cs="Calibri"/>
      <w:kern w:val="2"/>
      <w:sz w:val="18"/>
      <w:szCs w:val="18"/>
    </w:rPr>
  </w:style>
  <w:style w:type="character" w:customStyle="1" w:styleId="9">
    <w:name w:val="页脚 Char"/>
    <w:basedOn w:val="5"/>
    <w:link w:val="3"/>
    <w:qFormat/>
    <w:uiPriority w:val="99"/>
    <w:rPr>
      <w:rFonts w:cs="Calibri"/>
      <w:kern w:val="2"/>
      <w:sz w:val="18"/>
      <w:szCs w:val="18"/>
    </w:rPr>
  </w:style>
  <w:style w:type="character" w:customStyle="1" w:styleId="10">
    <w:name w:val="页眉 Char"/>
    <w:basedOn w:val="5"/>
    <w:link w:val="4"/>
    <w:semiHidden/>
    <w:qFormat/>
    <w:uiPriority w:val="99"/>
    <w:rPr>
      <w:rFonts w:cs="Calibri"/>
      <w:kern w:val="2"/>
      <w:sz w:val="18"/>
      <w:szCs w:val="18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  <customShpInfo spid="_x0000_s1033"/>
    <customShpInfo spid="_x0000_s103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77D208-212E-4998-898D-D5261197C9C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14</Pages>
  <Words>1538</Words>
  <Characters>8771</Characters>
  <Lines>73</Lines>
  <Paragraphs>20</Paragraphs>
  <ScaleCrop>false</ScaleCrop>
  <LinksUpToDate>false</LinksUpToDate>
  <CharactersWithSpaces>10289</CharactersWithSpaces>
  <Application>WPS Office_10.8.0.5800_F1E327BC-269C-435d-A152-05C5408002CA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2018-09-13T08:17:00Z</dcterms:created>
  <dc:creator>wushanshan</dc:creator>
  <cp:lastModifiedBy>王骁(拟稿)</cp:lastModifiedBy>
  <cp:lastPrinted>2018-11-07T05:35:09Z</cp:lastPrinted>
  <dcterms:modified xsi:type="dcterms:W3CDTF">2018-11-07T05:48:45Z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2052-10.8.0.5800</vt:lpwstr>
  </property>
</Properties>
</file>